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color w:val="1a1a1a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color w:val="1a1a1a"/>
          <w:sz w:val="16"/>
          <w:szCs w:val="16"/>
        </w:rPr>
        <w:t xml:space="preserve">Развитие навыков инженеров будущего через обучение с использованием T-FLEX CAD</w:t>
      </w:r>
      <w:r>
        <w:rPr>
          <w:rFonts w:ascii="Times New Roman" w:hAnsi="Times New Roman" w:eastAsia="Times New Roman" w:cs="Times New Roman"/>
          <w:b/>
          <w:color w:val="1a1a1a"/>
          <w:sz w:val="16"/>
          <w:szCs w:val="16"/>
        </w:rPr>
      </w:r>
    </w:p>
    <w:p>
      <w:pPr>
        <w:jc w:val="center"/>
        <w:rPr>
          <w:rFonts w:ascii="Times New Roman" w:hAnsi="Times New Roman" w:eastAsia="Times New Roman" w:cs="Times New Roman"/>
          <w:b/>
          <w:color w:val="1a1a1a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color w:val="1a1a1a"/>
          <w:sz w:val="16"/>
          <w:szCs w:val="16"/>
        </w:rPr>
        <w:t xml:space="preserve">Ежова А.Ю. anasisom@yandex.ru</w:t>
      </w:r>
      <w:r>
        <w:rPr>
          <w:rFonts w:ascii="Times New Roman" w:hAnsi="Times New Roman" w:eastAsia="Times New Roman" w:cs="Times New Roman"/>
          <w:b/>
          <w:color w:val="1a1a1a"/>
          <w:sz w:val="16"/>
          <w:szCs w:val="16"/>
        </w:rPr>
      </w:r>
    </w:p>
    <w:p>
      <w:pPr>
        <w:jc w:val="center"/>
        <w:rPr>
          <w:rFonts w:ascii="Times New Roman" w:hAnsi="Times New Roman" w:eastAsia="Times New Roman" w:cs="Times New Roman"/>
          <w:color w:val="1a1a1a"/>
          <w:sz w:val="16"/>
          <w:szCs w:val="16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Государственный социально-гуманитарный университет, г. Коломна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</w:r>
    </w:p>
    <w:p>
      <w:pPr>
        <w:jc w:val="center"/>
        <w:rPr>
          <w:rFonts w:ascii="Times New Roman" w:hAnsi="Times New Roman" w:eastAsia="Times New Roman" w:cs="Times New Roman"/>
          <w:color w:val="1a1a1a"/>
          <w:sz w:val="16"/>
          <w:szCs w:val="16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</w:r>
    </w:p>
    <w:p>
      <w:pPr>
        <w:jc w:val="center"/>
        <w:rPr>
          <w:rFonts w:ascii="Times New Roman" w:hAnsi="Times New Roman" w:eastAsia="Times New Roman" w:cs="Times New Roman"/>
          <w:b/>
          <w:color w:val="1a1a1a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color w:val="1a1a1a"/>
          <w:sz w:val="16"/>
          <w:szCs w:val="16"/>
        </w:rPr>
        <w:t xml:space="preserve">Аннотация</w:t>
      </w:r>
      <w:r>
        <w:rPr>
          <w:rFonts w:ascii="Times New Roman" w:hAnsi="Times New Roman" w:eastAsia="Times New Roman" w:cs="Times New Roman"/>
          <w:b/>
          <w:color w:val="1a1a1a"/>
          <w:sz w:val="16"/>
          <w:szCs w:val="16"/>
        </w:rPr>
      </w:r>
    </w:p>
    <w:p>
      <w:pPr>
        <w:jc w:val="both"/>
        <w:rPr>
          <w:rFonts w:ascii="Times New Roman" w:hAnsi="Times New Roman" w:eastAsia="Times New Roman" w:cs="Times New Roman"/>
          <w:color w:val="1a1a1a"/>
          <w:sz w:val="16"/>
          <w:szCs w:val="16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Инженерное проектирование играет ключевую роль в современном мире, и его интеграция в учебные программы становится все более актуальной. В статье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, основанной на опыте применения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T-FLEX CAD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 в школе и педагогическом вузе, показывается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актуальность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ее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применения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в образовательной сре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де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 для ориентации школьников на инженерные профессии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.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</w:r>
    </w:p>
    <w:p>
      <w:pPr>
        <w:jc w:val="both"/>
        <w:rPr>
          <w:rFonts w:ascii="Times New Roman" w:hAnsi="Times New Roman" w:eastAsia="Times New Roman" w:cs="Times New Roman"/>
          <w:color w:val="1a1a1a"/>
          <w:sz w:val="16"/>
          <w:szCs w:val="16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</w:r>
    </w:p>
    <w:p>
      <w:pPr>
        <w:ind w:firstLine="280"/>
        <w:jc w:val="both"/>
        <w:rPr>
          <w:rFonts w:ascii="Times New Roman" w:hAnsi="Times New Roman" w:eastAsia="Times New Roman" w:cs="Times New Roman"/>
          <w:color w:val="1a1a1a"/>
          <w:sz w:val="16"/>
          <w:szCs w:val="16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В настоящее время, когда информационные технологии активно внедряются во все сферы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жизни, профессия инженера становится всё более востребованной и актуальной. Это связано с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тем, что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именно инженерно-технические специалисты определяют научно-технический и оборонный потенциал государства.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 Инженерия включает в себя множество разных направлений от проектирования до тестирования машин, устройств и технологий. Современные технологии и требования рынка труда делают инженерное образование одним из самых востребованных направлений для да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льнейшего обучения.  Технологии и инновации играют ключевую роль в различных отраслях промышленности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,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поэтому важно обеспечить инженеров будущего не только теоретическими знаниями, но и практическими навыками в области проектирования и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 разработки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 изделий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. Одним из наиболее распространенных инструментов для моделирования и проектирования среди инженеров является программное обеспечение T-FLEX CAD.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</w:r>
    </w:p>
    <w:p>
      <w:pPr>
        <w:ind w:firstLine="280"/>
        <w:jc w:val="both"/>
        <w:rPr>
          <w:rFonts w:ascii="Times New Roman" w:hAnsi="Times New Roman" w:eastAsia="Times New Roman" w:cs="Times New Roman"/>
          <w:color w:val="1a1a1a"/>
          <w:sz w:val="16"/>
          <w:szCs w:val="16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T-FLEX CAD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–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 это профессиональная система для конструирования от российской компании «Топ Системы»,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 которая объединяет в себе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широки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е возможности параметрического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и свободного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2D и 3D моделирования с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эффективными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инструментами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формирования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 и оформления чертежей и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иной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конструкторской документации. Одним из основных преимуществ T-FLEX CAD является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удобный и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 понятный интерфейс, кот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орый делает процесс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работу с системой доступной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даже для школьников. Благодаря простоте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этому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, начинающие инженеры могут быстро освоить основы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проектирования и работы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с программой, понять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,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 как работают основные команды и функции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, а затем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и начать создавать с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вои собственные проекты.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</w:r>
    </w:p>
    <w:p>
      <w:pPr>
        <w:ind w:firstLine="280"/>
        <w:jc w:val="both"/>
        <w:rPr>
          <w:rFonts w:ascii="Times New Roman" w:hAnsi="Times New Roman" w:eastAsia="Times New Roman" w:cs="Times New Roman"/>
          <w:color w:val="1a1a1a"/>
          <w:sz w:val="16"/>
          <w:szCs w:val="16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Обучение с использованием программного обеспечения T-FLEX CAD позволяет раскрыть для обучающихся все важные этапы создания модели, начиная от построения эскизов в режиме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2D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моделирования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 и заканчивая построением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достаточно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сложной 3D сборк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и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с формированием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технической документации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для будущего изделия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.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Немаловажным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фактором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использования в обучении данного программного обеспечения является наличие бесплатной учебной версии программы, для которой требуется только регистрация на сайте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. При этом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 учебная версия не с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одержит глобальных отличий от профессиональной версии, которую используют на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промышленных предприятиях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.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</w:r>
    </w:p>
    <w:p>
      <w:pPr>
        <w:ind w:firstLine="280"/>
        <w:jc w:val="both"/>
        <w:rPr>
          <w:rFonts w:ascii="Times New Roman" w:hAnsi="Times New Roman" w:eastAsia="Times New Roman" w:cs="Times New Roman"/>
          <w:color w:val="1a1a1a"/>
          <w:sz w:val="16"/>
          <w:szCs w:val="16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Обучение с использованием T-FLEX CAD открывает перед будущими инженерами массу возможностей для развития своих навыков, таких как понимание процессов проектирования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,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улучшение аналитических способностей, развитие пространственного мышления, умение использовать разнообразные команды и функции для оптимизации процесса создания изделий.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</w:r>
    </w:p>
    <w:p>
      <w:pPr>
        <w:ind w:firstLine="280"/>
        <w:jc w:val="both"/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Создание моделей в T-FLEX CAD требует от пользователей точности, внимания к деталям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 и развитого пространственного мышления, что способствует развитию их профессиональных навыков. Программа позволяет комбинировать разные методы создания модели «сверху-вниз» (от детали к сборке) и «снизу-вверх» (от сборки к детали), использовать внутренние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 библиотеки стандартных изделий, содержащие болты, винты, гайки, подшипники, крышки, пружины и друг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и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е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 типовые изделия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.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Помимо этого,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 T-FLEX CAD содержит функции для создания записи анимации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сборки/разборки, пользовательских сценариев с фотореалистичным качеством, и позволяет испо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льзовать 3D принтер для визуализации изделия.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</w:r>
    </w:p>
    <w:p>
      <w:pPr>
        <w:ind w:firstLine="280"/>
        <w:jc w:val="both"/>
        <w:rPr>
          <w:rFonts w:ascii="Times New Roman" w:hAnsi="Times New Roman" w:eastAsia="Times New Roman" w:cs="Times New Roman"/>
          <w:color w:val="1a1a1a"/>
          <w:sz w:val="16"/>
          <w:szCs w:val="16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Обучение с использованием T-FLEX CAD способствует формированию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навыков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командной работы и обмен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 знаниями между студентами и преподавателями. В рамках проектов и заданий, созданных с помощью этой программы,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обучающиеся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 мо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гут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совместно решать сложные задачи,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распределяя роли в команде,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обсуждать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идеи и находить оптимальные решения.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</w:r>
    </w:p>
    <w:p>
      <w:pPr>
        <w:ind w:firstLine="280"/>
        <w:jc w:val="both"/>
        <w:rPr>
          <w:rFonts w:ascii="Times New Roman" w:hAnsi="Times New Roman" w:eastAsia="Times New Roman" w:cs="Times New Roman"/>
          <w:color w:val="1a1a1a"/>
          <w:sz w:val="16"/>
          <w:szCs w:val="16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Развитие навыков инженеров будущего через обучение с использованием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T-FLEX CAD играет важную роль в подготовке квалифицированных специалистов для современной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промышленности. Это программное обеспечение не только облегчает процесс проектирования, но и способствует повышению профессионального уровня </w:t>
      </w:r>
      <w:r>
        <w:rPr>
          <w:rFonts w:ascii="Times New Roman" w:hAnsi="Times New Roman" w:eastAsia="Times New Roman" w:cs="Times New Roman"/>
          <w:color w:val="1a1a1a"/>
          <w:sz w:val="16"/>
          <w:szCs w:val="16"/>
          <w:lang w:val="ru-RU"/>
        </w:rPr>
        <w:t xml:space="preserve">обучающихся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и молодых инженеров, делая их готовыми к решению сложных технических задач и созданию инновационных проек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тов.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ab/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br/>
        <w:t xml:space="preserve">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</w:r>
    </w:p>
    <w:p>
      <w:pPr>
        <w:ind w:firstLine="280"/>
        <w:jc w:val="both"/>
        <w:rPr>
          <w:rFonts w:ascii="Times New Roman" w:hAnsi="Times New Roman" w:eastAsia="Times New Roman" w:cs="Times New Roman"/>
          <w:b/>
          <w:color w:val="1a1a1a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color w:val="1a1a1a"/>
          <w:sz w:val="16"/>
          <w:szCs w:val="16"/>
        </w:rPr>
        <w:t xml:space="preserve">Литература</w:t>
      </w:r>
      <w:r>
        <w:rPr>
          <w:rFonts w:ascii="Times New Roman" w:hAnsi="Times New Roman" w:eastAsia="Times New Roman" w:cs="Times New Roman"/>
          <w:b/>
          <w:color w:val="1a1a1a"/>
          <w:sz w:val="16"/>
          <w:szCs w:val="16"/>
        </w:rPr>
      </w:r>
    </w:p>
    <w:p>
      <w:pPr>
        <w:jc w:val="both"/>
        <w:rPr>
          <w:rFonts w:ascii="Times New Roman" w:hAnsi="Times New Roman" w:eastAsia="Times New Roman" w:cs="Times New Roman"/>
          <w:color w:val="1a1a1a"/>
          <w:sz w:val="16"/>
          <w:szCs w:val="16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1. Александров Л. В. Моделирование – этап создания эффективных технических решений: Учебное пособие [Текст]/Л. В. Александров, Н. П. Шепелев. – М.: НПО «Поиск», 1991.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</w:r>
    </w:p>
    <w:p>
      <w:pPr>
        <w:jc w:val="both"/>
        <w:rPr>
          <w:rFonts w:ascii="Times New Roman" w:hAnsi="Times New Roman" w:eastAsia="Times New Roman" w:cs="Times New Roman"/>
          <w:color w:val="1a1a1a"/>
          <w:sz w:val="16"/>
          <w:szCs w:val="16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2. Бордовский Г.А. Использование электронных образовательных ресурсов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нового поколения в учебном процессе: Научно-методические материалы / Бордовский Г. А., Готская И. Б., Ильина С. П., Снегурова В. И. — СПб.: Изд-во РГПУ им. А. И. Герцена, 2007. — 31 с.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</w:r>
    </w:p>
    <w:p>
      <w:pPr>
        <w:jc w:val="both"/>
        <w:rPr>
          <w:rFonts w:ascii="Times New Roman" w:hAnsi="Times New Roman" w:eastAsia="Times New Roman" w:cs="Times New Roman"/>
          <w:color w:val="1a1a1a"/>
          <w:sz w:val="16"/>
          <w:szCs w:val="16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3. Бунаков П.Ю. Сквозное проектирование в T-FLEX – М.: ДМК Пресс, 2015.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 – 400 с., ил.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</w:r>
    </w:p>
    <w:p>
      <w:pPr>
        <w:jc w:val="both"/>
        <w:rPr>
          <w:rFonts w:ascii="Times New Roman" w:hAnsi="Times New Roman" w:eastAsia="Times New Roman" w:cs="Times New Roman"/>
          <w:color w:val="1a1a1a"/>
          <w:sz w:val="16"/>
          <w:szCs w:val="16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4. Бунаков, П.Ю. Сквозное проектирование в машиностроении. Основы теории и практикум / Бунаков П.Ю., Широких Э.В. – М.: ДМК Пресс, 2016. – 120 с.:ил.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</w:r>
    </w:p>
    <w:p>
      <w:pPr>
        <w:jc w:val="both"/>
        <w:rPr>
          <w:rFonts w:ascii="Times New Roman" w:hAnsi="Times New Roman" w:eastAsia="Times New Roman" w:cs="Times New Roman"/>
          <w:color w:val="1a1a1a"/>
          <w:sz w:val="16"/>
          <w:szCs w:val="16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5. Корнилов И.К. Основы инженерного искусства: монография / И.К. Корнилов; Моск. гос. ун-т 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печати имени Ивана Федорова. — М. : МГУП имени Ивана Федорова, 2014. — 372 с.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</w:r>
    </w:p>
    <w:p>
      <w:pPr>
        <w:jc w:val="both"/>
        <w:rPr>
          <w:rFonts w:ascii="Times New Roman" w:hAnsi="Times New Roman" w:eastAsia="Times New Roman" w:cs="Times New Roman"/>
          <w:color w:val="1a1a1a"/>
          <w:sz w:val="16"/>
          <w:szCs w:val="16"/>
        </w:rPr>
      </w:pPr>
      <w:r>
        <w:rPr>
          <w:rFonts w:ascii="Times New Roman" w:hAnsi="Times New Roman" w:eastAsia="Times New Roman" w:cs="Times New Roman"/>
          <w:color w:val="1a1a1a"/>
          <w:sz w:val="16"/>
          <w:szCs w:val="16"/>
        </w:rPr>
        <w:t xml:space="preserve">6. Протасова С. В., Максимов С.В,. T-FLEX CAD Начальный курс. — Северодвинск, 2011. — 215 с.</w:t>
      </w:r>
      <w:r>
        <w:rPr>
          <w:rFonts w:ascii="Times New Roman" w:hAnsi="Times New Roman" w:eastAsia="Times New Roman" w:cs="Times New Roman"/>
          <w:color w:val="1a1a1a"/>
          <w:sz w:val="16"/>
          <w:szCs w:val="16"/>
        </w:rPr>
      </w:r>
    </w:p>
    <w:sectPr>
      <w:footnotePr/>
      <w:endnotePr/>
      <w:type w:val="nextPage"/>
      <w:pgSz w:w="8391" w:h="11906" w:orient="portrait"/>
      <w:pgMar w:top="850" w:right="850" w:bottom="850" w:left="85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0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0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0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0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0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0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0"/>
    <w:link w:val="634"/>
    <w:uiPriority w:val="10"/>
    <w:rPr>
      <w:sz w:val="48"/>
      <w:szCs w:val="48"/>
    </w:rPr>
  </w:style>
  <w:style w:type="character" w:styleId="37">
    <w:name w:val="Subtitle Char"/>
    <w:basedOn w:val="630"/>
    <w:link w:val="635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paragraph" w:styleId="624">
    <w:name w:val="Heading 1"/>
    <w:basedOn w:val="623"/>
    <w:next w:val="623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625">
    <w:name w:val="Heading 2"/>
    <w:basedOn w:val="623"/>
    <w:next w:val="623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626">
    <w:name w:val="Heading 3"/>
    <w:basedOn w:val="623"/>
    <w:next w:val="623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627">
    <w:name w:val="Heading 4"/>
    <w:basedOn w:val="623"/>
    <w:next w:val="623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628">
    <w:name w:val="Heading 5"/>
    <w:basedOn w:val="623"/>
    <w:next w:val="623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629">
    <w:name w:val="Heading 6"/>
    <w:basedOn w:val="623"/>
    <w:next w:val="623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table" w:styleId="63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34">
    <w:name w:val="Title"/>
    <w:basedOn w:val="623"/>
    <w:next w:val="623"/>
    <w:uiPriority w:val="10"/>
    <w:qFormat/>
    <w:pPr>
      <w:keepLines/>
      <w:keepNext/>
      <w:spacing w:after="60"/>
    </w:pPr>
    <w:rPr>
      <w:sz w:val="52"/>
      <w:szCs w:val="52"/>
    </w:rPr>
  </w:style>
  <w:style w:type="paragraph" w:styleId="635">
    <w:name w:val="Subtitle"/>
    <w:basedOn w:val="623"/>
    <w:next w:val="623"/>
    <w:uiPriority w:val="11"/>
    <w:qFormat/>
    <w:pPr>
      <w:keepLines/>
      <w:keepNext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Ежова</cp:lastModifiedBy>
  <cp:revision>5</cp:revision>
  <dcterms:created xsi:type="dcterms:W3CDTF">2024-06-07T06:52:00Z</dcterms:created>
  <dcterms:modified xsi:type="dcterms:W3CDTF">2024-06-09T16:54:50Z</dcterms:modified>
</cp:coreProperties>
</file>